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FA819C" w14:textId="602BB752" w:rsidR="007F3F6B" w:rsidRPr="000C2655" w:rsidRDefault="004E113D" w:rsidP="005732B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5D5624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</w:t>
      </w:r>
      <w:r w:rsidR="00131280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>PRIN 2022</w:t>
      </w:r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PNRR </w:t>
      </w:r>
      <w:r w:rsidR="00131280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2D016B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>“</w:t>
      </w:r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Urban green </w:t>
      </w:r>
      <w:proofErr w:type="spellStart"/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>infrastructure</w:t>
      </w:r>
      <w:proofErr w:type="spellEnd"/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policies on green </w:t>
      </w:r>
      <w:proofErr w:type="spellStart"/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>spaces</w:t>
      </w:r>
      <w:proofErr w:type="spellEnd"/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and health </w:t>
      </w:r>
      <w:proofErr w:type="spellStart"/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>outcomes</w:t>
      </w:r>
      <w:proofErr w:type="spellEnd"/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: </w:t>
      </w:r>
      <w:proofErr w:type="spellStart"/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>evidence</w:t>
      </w:r>
      <w:proofErr w:type="spellEnd"/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from </w:t>
      </w:r>
      <w:proofErr w:type="spellStart"/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>six</w:t>
      </w:r>
      <w:proofErr w:type="spellEnd"/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small and medium-</w:t>
      </w:r>
      <w:proofErr w:type="spellStart"/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>sized</w:t>
      </w:r>
      <w:proofErr w:type="spellEnd"/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>Italian</w:t>
      </w:r>
      <w:proofErr w:type="spellEnd"/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cities for future urban adaptation plans</w:t>
      </w:r>
      <w:r w:rsidR="002D016B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”, </w:t>
      </w:r>
      <w:r w:rsidR="000C2655" w:rsidRPr="000C2655">
        <w:rPr>
          <w:rFonts w:ascii="Times New Roman" w:hAnsi="Times New Roman" w:cs="Times New Roman"/>
          <w:b/>
          <w:bCs/>
          <w:sz w:val="20"/>
          <w:szCs w:val="20"/>
          <w:lang w:val="it-IT"/>
        </w:rPr>
        <w:t>Prot. P2022JJ3LB - CUP J53D23016700001</w:t>
      </w:r>
    </w:p>
    <w:p w14:paraId="0FBD730B" w14:textId="77777777" w:rsidR="00864334" w:rsidRPr="000C2655" w:rsidRDefault="00864334" w:rsidP="000C2655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4E77707B" w14:textId="386746B4" w:rsidR="00CE0E7A" w:rsidRDefault="00CE0E7A" w:rsidP="000C2655">
      <w:pPr>
        <w:pStyle w:val="Corpotesto"/>
        <w:spacing w:before="6"/>
        <w:ind w:left="0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0C2655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0C2655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0C2655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0C2655">
        <w:rPr>
          <w:rFonts w:cs="Times New Roman"/>
          <w:spacing w:val="-1"/>
          <w:sz w:val="22"/>
          <w:szCs w:val="22"/>
          <w:lang w:val="it-IT"/>
        </w:rPr>
        <w:t>Università</w:t>
      </w:r>
      <w:r w:rsidRPr="000C2655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0C2655">
        <w:rPr>
          <w:rFonts w:cs="Times New Roman"/>
          <w:sz w:val="22"/>
          <w:szCs w:val="22"/>
          <w:lang w:val="it-IT"/>
        </w:rPr>
        <w:t>Cattolica</w:t>
      </w:r>
      <w:r w:rsidRPr="000C2655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0C2655">
        <w:rPr>
          <w:rFonts w:cs="Times New Roman"/>
          <w:sz w:val="22"/>
          <w:szCs w:val="22"/>
          <w:lang w:val="it-IT"/>
        </w:rPr>
        <w:t>del</w:t>
      </w:r>
      <w:r w:rsidRPr="000C2655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0C2655">
        <w:rPr>
          <w:rFonts w:cs="Times New Roman"/>
          <w:sz w:val="22"/>
          <w:szCs w:val="22"/>
          <w:lang w:val="it-IT"/>
        </w:rPr>
        <w:t>Sacro</w:t>
      </w:r>
      <w:r w:rsidRPr="000C2655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0C2655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0C2655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0C2655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0C2655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0C2655">
        <w:rPr>
          <w:rFonts w:cs="Times New Roman"/>
          <w:sz w:val="22"/>
          <w:szCs w:val="22"/>
          <w:lang w:val="it-IT"/>
        </w:rPr>
        <w:t>L.go</w:t>
      </w:r>
      <w:r w:rsidRPr="000C2655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0C2655">
        <w:rPr>
          <w:rFonts w:cs="Times New Roman"/>
          <w:sz w:val="22"/>
          <w:szCs w:val="22"/>
          <w:lang w:val="it-IT"/>
        </w:rPr>
        <w:t>Gemelli</w:t>
      </w:r>
      <w:r w:rsidRPr="000C2655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0C2655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0C2655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0C2655">
        <w:rPr>
          <w:rFonts w:cs="Times New Roman"/>
          <w:sz w:val="22"/>
          <w:szCs w:val="22"/>
          <w:lang w:val="it-IT"/>
        </w:rPr>
        <w:t>20123</w:t>
      </w:r>
      <w:r w:rsidRPr="000C2655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0C2655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proofErr w:type="gramEnd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68A1472B" w:rsidR="00206A80" w:rsidRPr="000C2655" w:rsidRDefault="004E113D" w:rsidP="000C2655">
      <w:pPr>
        <w:spacing w:line="360" w:lineRule="auto"/>
        <w:ind w:left="177"/>
        <w:jc w:val="both"/>
        <w:rPr>
          <w:rFonts w:cs="Times New Roman"/>
          <w:b/>
          <w:bCs/>
          <w:sz w:val="20"/>
          <w:szCs w:val="20"/>
          <w:lang w:val="it-IT"/>
        </w:rPr>
      </w:pPr>
      <w:r w:rsidRPr="002D016B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0C2655">
        <w:rPr>
          <w:rFonts w:eastAsia="Arial" w:cs="Times New Roman"/>
          <w:iCs/>
          <w:sz w:val="20"/>
          <w:szCs w:val="20"/>
          <w:lang w:val="it-IT"/>
        </w:rPr>
        <w:t xml:space="preserve">procedura di </w:t>
      </w:r>
      <w:r w:rsidR="00681C2A" w:rsidRPr="000C2655">
        <w:rPr>
          <w:rFonts w:eastAsia="Arial" w:cs="Times New Roman"/>
          <w:iCs/>
          <w:sz w:val="20"/>
          <w:szCs w:val="20"/>
          <w:lang w:val="it-IT"/>
        </w:rPr>
        <w:t>selezione</w:t>
      </w:r>
      <w:r w:rsidR="000C2655" w:rsidRPr="000C2655">
        <w:rPr>
          <w:rFonts w:eastAsia="Arial" w:cs="Times New Roman"/>
          <w:iCs/>
          <w:sz w:val="20"/>
          <w:szCs w:val="20"/>
          <w:lang w:val="it-IT"/>
        </w:rPr>
        <w:t xml:space="preserve"> </w:t>
      </w:r>
      <w:r w:rsidR="000C2655" w:rsidRPr="000C2655">
        <w:rPr>
          <w:rFonts w:eastAsia="Arial" w:cs="Times New Roman"/>
          <w:iCs/>
          <w:sz w:val="20"/>
          <w:szCs w:val="20"/>
          <w:lang w:val="it-IT"/>
        </w:rPr>
        <w:t>(ARS/UO/RR/FEL/</w:t>
      </w:r>
      <w:proofErr w:type="spellStart"/>
      <w:r w:rsidR="000C2655" w:rsidRPr="000C2655">
        <w:rPr>
          <w:rFonts w:eastAsia="Arial" w:cs="Times New Roman"/>
          <w:iCs/>
          <w:sz w:val="20"/>
          <w:szCs w:val="20"/>
          <w:lang w:val="it-IT"/>
        </w:rPr>
        <w:t>lmc</w:t>
      </w:r>
      <w:proofErr w:type="spellEnd"/>
      <w:r w:rsidR="000C2655" w:rsidRPr="000C2655">
        <w:rPr>
          <w:rFonts w:eastAsia="Arial" w:cs="Times New Roman"/>
          <w:iCs/>
          <w:sz w:val="20"/>
          <w:szCs w:val="20"/>
          <w:lang w:val="it-IT"/>
        </w:rPr>
        <w:t>/Prot. n. 55</w:t>
      </w:r>
      <w:r w:rsidR="000C2655" w:rsidRPr="000C2655">
        <w:rPr>
          <w:rFonts w:eastAsia="Arial" w:cs="Times New Roman"/>
          <w:iCs/>
          <w:sz w:val="20"/>
          <w:szCs w:val="20"/>
          <w:lang w:val="it-IT"/>
        </w:rPr>
        <w:t>4</w:t>
      </w:r>
      <w:r w:rsidR="000C2655" w:rsidRPr="000C2655">
        <w:rPr>
          <w:rFonts w:eastAsia="Arial" w:cs="Times New Roman"/>
          <w:iCs/>
          <w:sz w:val="20"/>
          <w:szCs w:val="20"/>
          <w:lang w:val="it-IT"/>
        </w:rPr>
        <w:t xml:space="preserve">) </w:t>
      </w:r>
      <w:r w:rsidR="003374C9" w:rsidRPr="000C2655">
        <w:rPr>
          <w:rFonts w:eastAsia="Arial" w:cs="Times New Roman"/>
          <w:i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0C2655">
        <w:rPr>
          <w:rFonts w:eastAsia="Arial" w:cs="Times New Roman"/>
          <w:iCs/>
          <w:sz w:val="20"/>
          <w:szCs w:val="20"/>
          <w:lang w:val="it-IT"/>
        </w:rPr>
        <w:t>sede di Roma</w:t>
      </w:r>
      <w:r w:rsidR="003374C9" w:rsidRPr="000C2655">
        <w:rPr>
          <w:rFonts w:eastAsia="Arial" w:cs="Times New Roman"/>
          <w:iCs/>
          <w:sz w:val="20"/>
          <w:szCs w:val="20"/>
          <w:lang w:val="it-IT"/>
        </w:rPr>
        <w:t>, nell’ambito del</w:t>
      </w:r>
      <w:r w:rsidR="003374C9" w:rsidRPr="00210171">
        <w:rPr>
          <w:rFonts w:cs="Times New Roman"/>
          <w:sz w:val="20"/>
          <w:szCs w:val="20"/>
          <w:lang w:val="it-IT"/>
        </w:rPr>
        <w:t xml:space="preserve"> </w:t>
      </w:r>
      <w:r w:rsidR="003374C9" w:rsidRPr="00210171">
        <w:rPr>
          <w:rFonts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210171">
        <w:rPr>
          <w:rFonts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210171">
        <w:rPr>
          <w:rFonts w:cs="Times New Roman"/>
          <w:b/>
          <w:bCs/>
          <w:sz w:val="20"/>
          <w:szCs w:val="20"/>
          <w:lang w:val="it-IT"/>
        </w:rPr>
        <w:t xml:space="preserve">, </w:t>
      </w:r>
      <w:r w:rsidR="000C2655" w:rsidRPr="000C2655">
        <w:rPr>
          <w:rFonts w:cs="Times New Roman"/>
          <w:b/>
          <w:bCs/>
          <w:sz w:val="20"/>
          <w:szCs w:val="20"/>
          <w:lang w:val="it-IT"/>
        </w:rPr>
        <w:t xml:space="preserve">“Urban green </w:t>
      </w:r>
      <w:proofErr w:type="spellStart"/>
      <w:r w:rsidR="000C2655" w:rsidRPr="000C2655">
        <w:rPr>
          <w:rFonts w:cs="Times New Roman"/>
          <w:b/>
          <w:bCs/>
          <w:sz w:val="20"/>
          <w:szCs w:val="20"/>
          <w:lang w:val="it-IT"/>
        </w:rPr>
        <w:t>infrastructure</w:t>
      </w:r>
      <w:proofErr w:type="spellEnd"/>
      <w:r w:rsidR="000C2655" w:rsidRPr="000C2655">
        <w:rPr>
          <w:rFonts w:cs="Times New Roman"/>
          <w:b/>
          <w:bCs/>
          <w:sz w:val="20"/>
          <w:szCs w:val="20"/>
          <w:lang w:val="it-IT"/>
        </w:rPr>
        <w:t xml:space="preserve">, policies on green </w:t>
      </w:r>
      <w:proofErr w:type="spellStart"/>
      <w:r w:rsidR="000C2655" w:rsidRPr="000C2655">
        <w:rPr>
          <w:rFonts w:cs="Times New Roman"/>
          <w:b/>
          <w:bCs/>
          <w:sz w:val="20"/>
          <w:szCs w:val="20"/>
          <w:lang w:val="it-IT"/>
        </w:rPr>
        <w:t>spaces</w:t>
      </w:r>
      <w:proofErr w:type="spellEnd"/>
      <w:r w:rsidR="000C2655" w:rsidRPr="000C2655">
        <w:rPr>
          <w:rFonts w:cs="Times New Roman"/>
          <w:b/>
          <w:bCs/>
          <w:sz w:val="20"/>
          <w:szCs w:val="20"/>
          <w:lang w:val="it-IT"/>
        </w:rPr>
        <w:t xml:space="preserve"> and health </w:t>
      </w:r>
      <w:proofErr w:type="spellStart"/>
      <w:r w:rsidR="000C2655" w:rsidRPr="000C2655">
        <w:rPr>
          <w:rFonts w:cs="Times New Roman"/>
          <w:b/>
          <w:bCs/>
          <w:sz w:val="20"/>
          <w:szCs w:val="20"/>
          <w:lang w:val="it-IT"/>
        </w:rPr>
        <w:t>outcomes</w:t>
      </w:r>
      <w:proofErr w:type="spellEnd"/>
      <w:r w:rsidR="000C2655" w:rsidRPr="000C2655">
        <w:rPr>
          <w:rFonts w:cs="Times New Roman"/>
          <w:b/>
          <w:bCs/>
          <w:sz w:val="20"/>
          <w:szCs w:val="20"/>
          <w:lang w:val="it-IT"/>
        </w:rPr>
        <w:t xml:space="preserve">: </w:t>
      </w:r>
      <w:proofErr w:type="spellStart"/>
      <w:r w:rsidR="000C2655" w:rsidRPr="000C2655">
        <w:rPr>
          <w:rFonts w:cs="Times New Roman"/>
          <w:b/>
          <w:bCs/>
          <w:sz w:val="20"/>
          <w:szCs w:val="20"/>
          <w:lang w:val="it-IT"/>
        </w:rPr>
        <w:t>evidence</w:t>
      </w:r>
      <w:proofErr w:type="spellEnd"/>
      <w:r w:rsidR="000C2655" w:rsidRPr="000C2655">
        <w:rPr>
          <w:rFonts w:cs="Times New Roman"/>
          <w:b/>
          <w:bCs/>
          <w:sz w:val="20"/>
          <w:szCs w:val="20"/>
          <w:lang w:val="it-IT"/>
        </w:rPr>
        <w:t xml:space="preserve"> from </w:t>
      </w:r>
      <w:proofErr w:type="spellStart"/>
      <w:r w:rsidR="000C2655" w:rsidRPr="000C2655">
        <w:rPr>
          <w:rFonts w:cs="Times New Roman"/>
          <w:b/>
          <w:bCs/>
          <w:sz w:val="20"/>
          <w:szCs w:val="20"/>
          <w:lang w:val="it-IT"/>
        </w:rPr>
        <w:t>six</w:t>
      </w:r>
      <w:proofErr w:type="spellEnd"/>
      <w:r w:rsidR="000C2655" w:rsidRPr="000C2655">
        <w:rPr>
          <w:rFonts w:cs="Times New Roman"/>
          <w:b/>
          <w:bCs/>
          <w:sz w:val="20"/>
          <w:szCs w:val="20"/>
          <w:lang w:val="it-IT"/>
        </w:rPr>
        <w:t xml:space="preserve"> small and medium-</w:t>
      </w:r>
      <w:proofErr w:type="spellStart"/>
      <w:r w:rsidR="000C2655" w:rsidRPr="000C2655">
        <w:rPr>
          <w:rFonts w:cs="Times New Roman"/>
          <w:b/>
          <w:bCs/>
          <w:sz w:val="20"/>
          <w:szCs w:val="20"/>
          <w:lang w:val="it-IT"/>
        </w:rPr>
        <w:t>sized</w:t>
      </w:r>
      <w:proofErr w:type="spellEnd"/>
      <w:r w:rsidR="000C2655" w:rsidRPr="000C2655">
        <w:rPr>
          <w:rFonts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0C2655" w:rsidRPr="000C2655">
        <w:rPr>
          <w:rFonts w:cs="Times New Roman"/>
          <w:b/>
          <w:bCs/>
          <w:sz w:val="20"/>
          <w:szCs w:val="20"/>
          <w:lang w:val="it-IT"/>
        </w:rPr>
        <w:t>Italian</w:t>
      </w:r>
      <w:proofErr w:type="spellEnd"/>
      <w:r w:rsidR="000C2655" w:rsidRPr="000C2655">
        <w:rPr>
          <w:rFonts w:cs="Times New Roman"/>
          <w:b/>
          <w:bCs/>
          <w:sz w:val="20"/>
          <w:szCs w:val="20"/>
          <w:lang w:val="it-IT"/>
        </w:rPr>
        <w:t xml:space="preserve"> cities for future urban adaptation plans”, Prot. P2022JJ3LB - CUP J53D23016700001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lastRenderedPageBreak/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2655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34EBA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Corona Lara Maria</cp:lastModifiedBy>
  <cp:revision>13</cp:revision>
  <dcterms:created xsi:type="dcterms:W3CDTF">2024-05-03T06:32:00Z</dcterms:created>
  <dcterms:modified xsi:type="dcterms:W3CDTF">2025-06-16T11:35:00Z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